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18A3A" w14:textId="399B7FA7" w:rsidR="009A2CB1" w:rsidRPr="009A2CB1" w:rsidRDefault="009A2CB1" w:rsidP="009A2CB1">
      <w:pPr>
        <w:jc w:val="right"/>
        <w:rPr>
          <w:lang w:bidi="ar-OM"/>
        </w:rPr>
      </w:pPr>
    </w:p>
    <w:p w14:paraId="5510A291" w14:textId="77777777" w:rsidR="009A2CB1" w:rsidRPr="009A2CB1" w:rsidRDefault="009A2CB1" w:rsidP="009A2CB1">
      <w:pPr>
        <w:jc w:val="center"/>
        <w:rPr>
          <w:b/>
          <w:bCs/>
          <w:sz w:val="44"/>
          <w:szCs w:val="44"/>
          <w:lang w:bidi="ar-OM"/>
        </w:rPr>
      </w:pPr>
      <w:r w:rsidRPr="009A2CB1">
        <w:rPr>
          <w:b/>
          <w:bCs/>
          <w:sz w:val="44"/>
          <w:szCs w:val="44"/>
          <w:rtl/>
          <w:lang w:val="en-US"/>
        </w:rPr>
        <w:t>إجراءات تقديم شكوى التمييز</w:t>
      </w:r>
    </w:p>
    <w:p w14:paraId="7A398A29" w14:textId="0E2269BF" w:rsidR="009A2CB1" w:rsidRPr="009A2CB1" w:rsidRDefault="009A2CB1" w:rsidP="009A2CB1">
      <w:pPr>
        <w:jc w:val="right"/>
        <w:rPr>
          <w:lang w:bidi="ar-OM"/>
        </w:rPr>
      </w:pPr>
      <w:r w:rsidRPr="009A2CB1">
        <w:rPr>
          <w:b/>
          <w:bCs/>
          <w:sz w:val="28"/>
          <w:szCs w:val="28"/>
          <w:rtl/>
          <w:lang w:val="en-US"/>
        </w:rPr>
        <w:t>الهدف</w:t>
      </w:r>
      <w:r w:rsidRPr="009A2CB1">
        <w:rPr>
          <w:lang w:bidi="ar-OM"/>
        </w:rPr>
        <w:br/>
      </w:r>
      <w:r w:rsidRPr="009A2CB1">
        <w:rPr>
          <w:rtl/>
          <w:lang w:val="en-US"/>
        </w:rPr>
        <w:t>توفير آلية آمنة وعادلة وسرية للأفراد للإبلاغ عن حالات التمييز، بما يضمن المساءلة ويعزز بيئة شاملة</w:t>
      </w:r>
      <w:r>
        <w:rPr>
          <w:rFonts w:hint="cs"/>
          <w:rtl/>
          <w:lang w:val="en-US"/>
        </w:rPr>
        <w:t>.</w:t>
      </w:r>
    </w:p>
    <w:p w14:paraId="0C763FE8" w14:textId="1AF64FBF" w:rsidR="009A2CB1" w:rsidRPr="009A2CB1" w:rsidRDefault="009A2CB1" w:rsidP="009A2CB1">
      <w:pPr>
        <w:jc w:val="right"/>
        <w:rPr>
          <w:lang w:bidi="ar-OM"/>
        </w:rPr>
      </w:pPr>
      <w:r w:rsidRPr="009A2CB1">
        <w:rPr>
          <w:b/>
          <w:bCs/>
          <w:lang w:bidi="ar-OM"/>
        </w:rPr>
        <w:t xml:space="preserve"> </w:t>
      </w:r>
      <w:r w:rsidRPr="009A2CB1">
        <w:rPr>
          <w:b/>
          <w:bCs/>
          <w:rtl/>
          <w:lang w:val="en-US"/>
        </w:rPr>
        <w:t>النطاق</w:t>
      </w:r>
      <w:r w:rsidRPr="009A2CB1">
        <w:rPr>
          <w:lang w:bidi="ar-OM"/>
        </w:rPr>
        <w:br/>
      </w:r>
      <w:r w:rsidRPr="009A2CB1">
        <w:rPr>
          <w:rtl/>
          <w:lang w:val="en-US"/>
        </w:rPr>
        <w:t>تنطبق هذه الإجراءات على جميع الموظفين والطلبة والمقاولين والزوار أو أي أفراد آخرين يتعاملون مع المؤسسة</w:t>
      </w:r>
      <w:r>
        <w:rPr>
          <w:rFonts w:hint="cs"/>
          <w:rtl/>
          <w:lang w:val="en-US"/>
        </w:rPr>
        <w:t>.</w:t>
      </w:r>
    </w:p>
    <w:p w14:paraId="2F7E683F" w14:textId="765E2016" w:rsidR="009A2CB1" w:rsidRPr="009A2CB1" w:rsidRDefault="009A2CB1" w:rsidP="009A2CB1">
      <w:pPr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التعاريف</w:t>
      </w:r>
    </w:p>
    <w:p w14:paraId="1F71FEDF" w14:textId="330D670A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rFonts w:hint="cs"/>
          <w:b/>
          <w:bCs/>
          <w:rtl/>
          <w:lang w:bidi="ar-OM"/>
        </w:rPr>
        <w:t>التمييز:</w:t>
      </w:r>
      <w:r>
        <w:rPr>
          <w:rFonts w:hint="cs"/>
          <w:rtl/>
          <w:lang w:bidi="ar-OM"/>
        </w:rPr>
        <w:t xml:space="preserve"> </w:t>
      </w:r>
      <w:r w:rsidRPr="009A2CB1">
        <w:rPr>
          <w:rtl/>
          <w:lang w:val="en-US"/>
        </w:rPr>
        <w:t>المعاملة غير العادلة بناءً على التنمر أو العرق أو الجنس أو الدين أو الأصل أو العمر أو الإعاقة أو التوجه الجنسي أو أي خصائص محمية أخرى</w:t>
      </w:r>
      <w:r>
        <w:rPr>
          <w:rFonts w:hint="cs"/>
          <w:rtl/>
          <w:lang w:val="en-US"/>
        </w:rPr>
        <w:t>.</w:t>
      </w:r>
    </w:p>
    <w:p w14:paraId="734B7D83" w14:textId="197690BA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المشتكي</w:t>
      </w:r>
      <w:r>
        <w:rPr>
          <w:rFonts w:hint="cs"/>
          <w:b/>
          <w:bCs/>
          <w:rtl/>
          <w:lang w:val="en-US"/>
        </w:rPr>
        <w:t xml:space="preserve"> : </w:t>
      </w:r>
      <w:r w:rsidRPr="009A2CB1">
        <w:rPr>
          <w:rFonts w:hint="cs"/>
          <w:rtl/>
          <w:lang w:val="en-US"/>
        </w:rPr>
        <w:t>الفرد الذي يقدم بلاغاََ عن التمييز المزعوم</w:t>
      </w:r>
    </w:p>
    <w:p w14:paraId="321AF5E3" w14:textId="484309C5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المشتكى عليه</w:t>
      </w:r>
      <w:r>
        <w:rPr>
          <w:rFonts w:hint="cs"/>
          <w:b/>
          <w:bCs/>
          <w:rtl/>
          <w:lang w:val="en-US"/>
        </w:rPr>
        <w:t xml:space="preserve"> : </w:t>
      </w:r>
      <w:r w:rsidRPr="009A2CB1">
        <w:rPr>
          <w:rtl/>
          <w:lang w:val="en-US"/>
        </w:rPr>
        <w:t>الشخص الذي يُزعم أنه ارتكب سلوك تمييز</w:t>
      </w:r>
    </w:p>
    <w:p w14:paraId="4F57E380" w14:textId="031142F9" w:rsidR="009A2CB1" w:rsidRPr="009A2CB1" w:rsidRDefault="009A2CB1" w:rsidP="009A2CB1">
      <w:pPr>
        <w:jc w:val="right"/>
        <w:rPr>
          <w:sz w:val="28"/>
          <w:szCs w:val="28"/>
          <w:lang w:bidi="ar-OM"/>
        </w:rPr>
      </w:pPr>
      <w:r w:rsidRPr="009A2CB1">
        <w:rPr>
          <w:b/>
          <w:bCs/>
          <w:sz w:val="28"/>
          <w:szCs w:val="28"/>
          <w:rtl/>
          <w:lang w:val="en-US"/>
        </w:rPr>
        <w:t>إجراءات تقديم الشكوى</w:t>
      </w:r>
    </w:p>
    <w:p w14:paraId="79BF7DC3" w14:textId="77777777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الخطوة 1: تقديم الشكوى</w:t>
      </w:r>
    </w:p>
    <w:p w14:paraId="4248A0FE" w14:textId="54964EA8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يجب على المشتكي تقديم تقرير كتابي أو شفهي إلى مدير</w:t>
      </w:r>
      <w:r w:rsidR="00BF41DD">
        <w:rPr>
          <w:rFonts w:hint="cs"/>
          <w:rtl/>
          <w:lang w:val="en-US"/>
        </w:rPr>
        <w:t>المعهد أو مشرف القسم.</w:t>
      </w:r>
      <w:r w:rsidRPr="009A2CB1">
        <w:rPr>
          <w:lang w:bidi="ar-OM"/>
        </w:rPr>
        <w:t xml:space="preserve"> </w:t>
      </w:r>
    </w:p>
    <w:p w14:paraId="7755138D" w14:textId="30FD02DD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تُقبل الشكاوى المجهولة، ولكن قد تؤثر على فعالية التحقيق</w:t>
      </w:r>
      <w:r w:rsidR="00BF41DD">
        <w:rPr>
          <w:rFonts w:hint="cs"/>
          <w:rtl/>
          <w:lang w:val="en-US"/>
        </w:rPr>
        <w:t>.</w:t>
      </w:r>
    </w:p>
    <w:p w14:paraId="15DBFBEA" w14:textId="77777777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الخطوة 2: التوثيق</w:t>
      </w:r>
    </w:p>
    <w:p w14:paraId="335C04DE" w14:textId="77777777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يجب توثيق جميع الشكاوى، مع تضمين التفاصيل التالية</w:t>
      </w:r>
      <w:r w:rsidRPr="009A2CB1">
        <w:rPr>
          <w:lang w:bidi="ar-OM"/>
        </w:rPr>
        <w:t xml:space="preserve">: </w:t>
      </w:r>
    </w:p>
    <w:p w14:paraId="6C338FB6" w14:textId="0D985D15" w:rsidR="009A2CB1" w:rsidRPr="009A2CB1" w:rsidRDefault="009A2CB1" w:rsidP="009A2CB1">
      <w:pPr>
        <w:ind w:left="1800"/>
        <w:jc w:val="right"/>
        <w:rPr>
          <w:lang w:bidi="ar-OM"/>
        </w:rPr>
      </w:pPr>
      <w:r w:rsidRPr="009A2CB1">
        <w:rPr>
          <w:rtl/>
          <w:lang w:val="en-US"/>
        </w:rPr>
        <w:t>تاريخ و</w:t>
      </w:r>
      <w:r w:rsidR="00BF41DD">
        <w:rPr>
          <w:rFonts w:hint="cs"/>
          <w:rtl/>
          <w:lang w:val="en-US"/>
        </w:rPr>
        <w:t xml:space="preserve"> </w:t>
      </w:r>
      <w:r w:rsidRPr="009A2CB1">
        <w:rPr>
          <w:rtl/>
          <w:lang w:val="en-US"/>
        </w:rPr>
        <w:t>وقت و</w:t>
      </w:r>
      <w:r w:rsidR="00BF41DD">
        <w:rPr>
          <w:rFonts w:hint="cs"/>
          <w:rtl/>
          <w:lang w:val="en-US"/>
        </w:rPr>
        <w:t xml:space="preserve"> </w:t>
      </w:r>
      <w:r w:rsidRPr="009A2CB1">
        <w:rPr>
          <w:rtl/>
          <w:lang w:val="en-US"/>
        </w:rPr>
        <w:t>مكان الحادث</w:t>
      </w:r>
    </w:p>
    <w:p w14:paraId="111D3BDF" w14:textId="77777777" w:rsidR="009A2CB1" w:rsidRPr="009A2CB1" w:rsidRDefault="009A2CB1" w:rsidP="009A2CB1">
      <w:pPr>
        <w:ind w:left="1800"/>
        <w:jc w:val="right"/>
        <w:rPr>
          <w:lang w:bidi="ar-OM"/>
        </w:rPr>
      </w:pPr>
      <w:r w:rsidRPr="009A2CB1">
        <w:rPr>
          <w:rtl/>
          <w:lang w:val="en-US"/>
        </w:rPr>
        <w:t>الأطراف المعنية</w:t>
      </w:r>
    </w:p>
    <w:p w14:paraId="298E8C24" w14:textId="77777777" w:rsidR="009A2CB1" w:rsidRPr="009A2CB1" w:rsidRDefault="009A2CB1" w:rsidP="009A2CB1">
      <w:pPr>
        <w:ind w:left="1800"/>
        <w:jc w:val="right"/>
        <w:rPr>
          <w:lang w:bidi="ar-OM"/>
        </w:rPr>
      </w:pPr>
      <w:r w:rsidRPr="009A2CB1">
        <w:rPr>
          <w:rtl/>
          <w:lang w:val="en-US"/>
        </w:rPr>
        <w:t>وصف السلوك أو الفعل</w:t>
      </w:r>
    </w:p>
    <w:p w14:paraId="5CA30869" w14:textId="77777777" w:rsidR="009A2CB1" w:rsidRPr="009A2CB1" w:rsidRDefault="009A2CB1" w:rsidP="009A2CB1">
      <w:pPr>
        <w:ind w:left="1800"/>
        <w:jc w:val="right"/>
        <w:rPr>
          <w:lang w:bidi="ar-OM"/>
        </w:rPr>
      </w:pPr>
      <w:r w:rsidRPr="009A2CB1">
        <w:rPr>
          <w:rtl/>
          <w:lang w:val="en-US"/>
        </w:rPr>
        <w:t>الشهود (إن وجدوا)</w:t>
      </w:r>
    </w:p>
    <w:p w14:paraId="75867AFC" w14:textId="77777777" w:rsidR="009A2CB1" w:rsidRPr="009A2CB1" w:rsidRDefault="009A2CB1" w:rsidP="009A2CB1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الخطوة 3: التقييم الأولي</w:t>
      </w:r>
    </w:p>
    <w:p w14:paraId="43290364" w14:textId="7A743800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يتم إجراء مراجعة أولية خلال يومي</w:t>
      </w:r>
      <w:r w:rsidR="00BF41DD">
        <w:rPr>
          <w:rFonts w:hint="cs"/>
          <w:rtl/>
          <w:lang w:val="en-US"/>
        </w:rPr>
        <w:t>ن</w:t>
      </w:r>
      <w:r w:rsidRPr="009A2CB1">
        <w:rPr>
          <w:rtl/>
          <w:lang w:val="en-US"/>
        </w:rPr>
        <w:t xml:space="preserve"> عمل لتحديد ما إذا كانت الشكوى تقع ضمن نطاق هذ</w:t>
      </w:r>
      <w:r w:rsidR="00BF41DD">
        <w:rPr>
          <w:rFonts w:hint="cs"/>
          <w:rtl/>
          <w:lang w:val="en-US"/>
        </w:rPr>
        <w:t>ا</w:t>
      </w:r>
      <w:r w:rsidRPr="009A2CB1">
        <w:rPr>
          <w:rtl/>
          <w:lang w:val="en-US"/>
        </w:rPr>
        <w:t xml:space="preserve"> الإجراء</w:t>
      </w:r>
      <w:r w:rsidRPr="009A2CB1">
        <w:rPr>
          <w:lang w:bidi="ar-OM"/>
        </w:rPr>
        <w:t>.</w:t>
      </w:r>
    </w:p>
    <w:p w14:paraId="1773F842" w14:textId="5795525B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 xml:space="preserve">إذا كانت </w:t>
      </w:r>
      <w:r w:rsidR="00BF41DD">
        <w:rPr>
          <w:rFonts w:hint="cs"/>
          <w:rtl/>
          <w:lang w:val="en-US"/>
        </w:rPr>
        <w:t>ضمن النطاق</w:t>
      </w:r>
      <w:r w:rsidRPr="009A2CB1">
        <w:rPr>
          <w:rtl/>
          <w:lang w:val="en-US"/>
        </w:rPr>
        <w:t>، يبدأ تحقيق رسمي</w:t>
      </w:r>
      <w:r w:rsidR="00BF41DD">
        <w:rPr>
          <w:rFonts w:hint="cs"/>
          <w:rtl/>
          <w:lang w:val="en-US"/>
        </w:rPr>
        <w:t>.</w:t>
      </w:r>
      <w:r w:rsidRPr="009A2CB1">
        <w:rPr>
          <w:lang w:bidi="ar-OM"/>
        </w:rPr>
        <w:t>.</w:t>
      </w:r>
    </w:p>
    <w:p w14:paraId="5707C927" w14:textId="77777777" w:rsidR="009A2CB1" w:rsidRPr="009A2CB1" w:rsidRDefault="009A2CB1" w:rsidP="00850433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الخطوة 4: التحقيق</w:t>
      </w:r>
    </w:p>
    <w:p w14:paraId="60BCBA74" w14:textId="5A38C5D2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يُجرى التحقيق بواسطة مدير</w:t>
      </w:r>
      <w:r w:rsidR="00BF41DD">
        <w:rPr>
          <w:rFonts w:hint="cs"/>
          <w:rtl/>
          <w:lang w:val="en-US"/>
        </w:rPr>
        <w:t>المعهد.</w:t>
      </w:r>
      <w:r w:rsidRPr="009A2CB1">
        <w:rPr>
          <w:lang w:bidi="ar-OM"/>
        </w:rPr>
        <w:t xml:space="preserve"> </w:t>
      </w:r>
    </w:p>
    <w:p w14:paraId="4349D373" w14:textId="48B48229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يمكن للطرفين تقديم الأدلة والشهود والبيانات</w:t>
      </w:r>
      <w:r w:rsidR="00BF41DD">
        <w:rPr>
          <w:rFonts w:hint="cs"/>
          <w:rtl/>
          <w:lang w:val="en-US"/>
        </w:rPr>
        <w:t>.</w:t>
      </w:r>
    </w:p>
    <w:p w14:paraId="0241BE6B" w14:textId="6BB9D437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lastRenderedPageBreak/>
        <w:t>تُراجع النتائج ويتم اتخاذ قرار بشأن أي إجراء تصحيحي أو تأديبي</w:t>
      </w:r>
      <w:r w:rsidR="00BF41DD">
        <w:rPr>
          <w:rFonts w:hint="cs"/>
          <w:rtl/>
          <w:lang w:val="en-US"/>
        </w:rPr>
        <w:t>.</w:t>
      </w:r>
    </w:p>
    <w:p w14:paraId="2F32C7F8" w14:textId="0668D081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يجب الانتهاء من التحقيق خلال ثلاثة أيام عمل</w:t>
      </w:r>
      <w:r w:rsidR="00BF41DD">
        <w:rPr>
          <w:rFonts w:hint="cs"/>
          <w:rtl/>
          <w:lang w:val="en-US"/>
        </w:rPr>
        <w:t>.</w:t>
      </w:r>
    </w:p>
    <w:p w14:paraId="4A2E384E" w14:textId="77777777" w:rsidR="009A2CB1" w:rsidRPr="009A2CB1" w:rsidRDefault="009A2CB1" w:rsidP="00D06949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الخطوة 5: الحل</w:t>
      </w:r>
    </w:p>
    <w:p w14:paraId="6A32F68E" w14:textId="416F08DB" w:rsidR="009A2CB1" w:rsidRPr="009A2CB1" w:rsidRDefault="009A2CB1" w:rsidP="00BF41DD">
      <w:pPr>
        <w:ind w:left="1080"/>
        <w:jc w:val="right"/>
        <w:rPr>
          <w:lang w:bidi="ar-OM"/>
        </w:rPr>
      </w:pPr>
      <w:r w:rsidRPr="009A2CB1">
        <w:rPr>
          <w:rtl/>
          <w:lang w:val="en-US"/>
        </w:rPr>
        <w:t>بعد الانتهاء من الخطوة الرابعة، يتم إبلاغ المشتكي مباشرة بنتيجة التحقيق</w:t>
      </w:r>
      <w:r w:rsidR="00BF41DD">
        <w:rPr>
          <w:rFonts w:hint="cs"/>
          <w:rtl/>
          <w:lang w:val="en-US"/>
        </w:rPr>
        <w:t>.</w:t>
      </w:r>
    </w:p>
    <w:p w14:paraId="402986D8" w14:textId="5BB39B1D" w:rsidR="009A2CB1" w:rsidRPr="009A2CB1" w:rsidRDefault="009A2CB1" w:rsidP="009A2CB1">
      <w:pPr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الحماية من الانتقام</w:t>
      </w:r>
    </w:p>
    <w:p w14:paraId="1426DD78" w14:textId="73B1D910" w:rsidR="009A2CB1" w:rsidRPr="009A2CB1" w:rsidRDefault="009A2CB1" w:rsidP="00BF41DD">
      <w:pPr>
        <w:ind w:left="360"/>
        <w:jc w:val="right"/>
        <w:rPr>
          <w:lang w:bidi="ar-OM"/>
        </w:rPr>
      </w:pPr>
      <w:r w:rsidRPr="009A2CB1">
        <w:rPr>
          <w:rtl/>
          <w:lang w:val="en-US"/>
        </w:rPr>
        <w:t>لا يجوز الانتقام من أي فرد لتقديمه شكوى تمييز أو لمشاركته في التحقيق</w:t>
      </w:r>
    </w:p>
    <w:p w14:paraId="320B05A2" w14:textId="4489A504" w:rsidR="009A2CB1" w:rsidRPr="009A2CB1" w:rsidRDefault="009A2CB1" w:rsidP="00BF41DD">
      <w:pPr>
        <w:ind w:left="360"/>
        <w:jc w:val="right"/>
        <w:rPr>
          <w:rtl/>
          <w:lang w:bidi="ar-OM"/>
        </w:rPr>
      </w:pPr>
      <w:r w:rsidRPr="009A2CB1">
        <w:rPr>
          <w:rtl/>
          <w:lang w:val="en-US"/>
        </w:rPr>
        <w:t>تُعامل شكاوى الانتقام بجدية وتُحقق فيها بشكل منفصل</w:t>
      </w:r>
      <w:r w:rsidR="00BF41DD">
        <w:rPr>
          <w:rFonts w:hint="cs"/>
          <w:rtl/>
          <w:lang w:val="en-US" w:bidi="ar-OM"/>
        </w:rPr>
        <w:t>.</w:t>
      </w:r>
    </w:p>
    <w:p w14:paraId="6BE3E4CD" w14:textId="570C0D72" w:rsidR="009A2CB1" w:rsidRPr="009A2CB1" w:rsidRDefault="0062356C" w:rsidP="009A2CB1">
      <w:pPr>
        <w:jc w:val="right"/>
        <w:rPr>
          <w:lang w:bidi="ar-OM"/>
        </w:rPr>
      </w:pPr>
      <w:r>
        <w:rPr>
          <w:rFonts w:hint="cs"/>
          <w:b/>
          <w:bCs/>
          <w:rtl/>
          <w:lang w:bidi="ar-OM"/>
        </w:rPr>
        <w:t xml:space="preserve"> 6. السرّية</w:t>
      </w:r>
    </w:p>
    <w:p w14:paraId="20CD7B38" w14:textId="40BEA112" w:rsidR="009A2CB1" w:rsidRPr="009A2CB1" w:rsidRDefault="009A2CB1" w:rsidP="00BF41DD">
      <w:pPr>
        <w:ind w:left="360"/>
        <w:jc w:val="right"/>
        <w:rPr>
          <w:lang w:bidi="ar-OM"/>
        </w:rPr>
      </w:pPr>
      <w:r w:rsidRPr="009A2CB1">
        <w:rPr>
          <w:rtl/>
          <w:lang w:val="en-US"/>
        </w:rPr>
        <w:t>تُعالج جميع الشكاوى بس</w:t>
      </w:r>
      <w:r w:rsidR="0062356C">
        <w:rPr>
          <w:rFonts w:hint="cs"/>
          <w:rtl/>
          <w:lang w:val="en-US"/>
        </w:rPr>
        <w:t>رّ</w:t>
      </w:r>
      <w:r w:rsidRPr="009A2CB1">
        <w:rPr>
          <w:rtl/>
          <w:lang w:val="en-US"/>
        </w:rPr>
        <w:t>ية تام</w:t>
      </w:r>
      <w:r w:rsidR="0062356C">
        <w:rPr>
          <w:rFonts w:hint="cs"/>
          <w:rtl/>
          <w:lang w:val="en-US"/>
        </w:rPr>
        <w:t>ّ</w:t>
      </w:r>
      <w:r w:rsidRPr="009A2CB1">
        <w:rPr>
          <w:rtl/>
          <w:lang w:val="en-US"/>
        </w:rPr>
        <w:t>ة</w:t>
      </w:r>
      <w:r w:rsidR="00BF41DD">
        <w:rPr>
          <w:rFonts w:hint="cs"/>
          <w:rtl/>
          <w:lang w:val="en-US"/>
        </w:rPr>
        <w:t>.</w:t>
      </w:r>
    </w:p>
    <w:p w14:paraId="501618EC" w14:textId="73C4D256" w:rsidR="009A2CB1" w:rsidRPr="009A2CB1" w:rsidRDefault="0062356C" w:rsidP="009A2CB1">
      <w:pPr>
        <w:jc w:val="right"/>
        <w:rPr>
          <w:lang w:bidi="ar-OM"/>
        </w:rPr>
      </w:pPr>
      <w:r>
        <w:rPr>
          <w:rFonts w:hint="cs"/>
          <w:b/>
          <w:bCs/>
          <w:rtl/>
          <w:lang w:bidi="ar-OM"/>
        </w:rPr>
        <w:t xml:space="preserve"> إجراءات الإستئناف</w:t>
      </w:r>
      <w:r w:rsidR="009A2CB1" w:rsidRPr="009A2CB1">
        <w:rPr>
          <w:b/>
          <w:bCs/>
          <w:lang w:bidi="ar-OM"/>
        </w:rPr>
        <w:t xml:space="preserve">7. </w:t>
      </w:r>
    </w:p>
    <w:p w14:paraId="27550B0C" w14:textId="0495A13B" w:rsidR="0062356C" w:rsidRDefault="009A2CB1" w:rsidP="0062356C">
      <w:pPr>
        <w:ind w:left="360"/>
        <w:jc w:val="right"/>
        <w:rPr>
          <w:lang w:bidi="ar-OM"/>
        </w:rPr>
      </w:pPr>
      <w:r w:rsidRPr="009A2CB1">
        <w:rPr>
          <w:rtl/>
          <w:lang w:val="en-US"/>
        </w:rPr>
        <w:t>إذا لم يكن المشتكي راضيًا عن النتيجة، يمكنه تقديم استئناف إلى طرف ثالث</w:t>
      </w:r>
      <w:r w:rsidR="0062356C" w:rsidRPr="0062356C">
        <w:rPr>
          <w:rFonts w:hint="cs"/>
          <w:rtl/>
          <w:lang w:val="en-US"/>
        </w:rPr>
        <w:t xml:space="preserve"> (شرطة عمان السلطانية)</w:t>
      </w:r>
      <w:r w:rsidR="0062356C">
        <w:rPr>
          <w:rFonts w:hint="cs"/>
          <w:rtl/>
          <w:lang w:val="en-US"/>
        </w:rPr>
        <w:t>.</w:t>
      </w:r>
      <w:r w:rsidRPr="009A2CB1">
        <w:rPr>
          <w:lang w:bidi="ar-OM"/>
        </w:rPr>
        <w:t xml:space="preserve"> </w:t>
      </w:r>
    </w:p>
    <w:p w14:paraId="3E125E5E" w14:textId="33538D00" w:rsidR="009A2CB1" w:rsidRPr="009A2CB1" w:rsidRDefault="0062356C" w:rsidP="0062356C">
      <w:pPr>
        <w:ind w:left="360"/>
        <w:jc w:val="right"/>
        <w:rPr>
          <w:lang w:bidi="ar-OM"/>
        </w:rPr>
      </w:pPr>
      <w:r w:rsidRPr="009A2CB1">
        <w:rPr>
          <w:b/>
          <w:bCs/>
          <w:rtl/>
          <w:lang w:val="en-US"/>
        </w:rPr>
        <w:t>التدريب والتوعية</w:t>
      </w:r>
      <w:r w:rsidRPr="0062356C">
        <w:rPr>
          <w:b/>
          <w:bCs/>
          <w:lang w:bidi="ar-OM"/>
        </w:rPr>
        <w:t xml:space="preserve"> </w:t>
      </w:r>
      <w:r w:rsidRPr="0062356C">
        <w:rPr>
          <w:rFonts w:hint="cs"/>
          <w:b/>
          <w:bCs/>
          <w:rtl/>
          <w:lang w:bidi="ar-OM"/>
        </w:rPr>
        <w:t>.</w:t>
      </w:r>
      <w:r w:rsidR="009A2CB1" w:rsidRPr="009A2CB1">
        <w:rPr>
          <w:b/>
          <w:bCs/>
          <w:lang w:bidi="ar-OM"/>
        </w:rPr>
        <w:t xml:space="preserve">8 </w:t>
      </w:r>
    </w:p>
    <w:p w14:paraId="61BB06B3" w14:textId="243A1DA9" w:rsidR="009A2CB1" w:rsidRPr="009A2CB1" w:rsidRDefault="009A2CB1" w:rsidP="002D289D">
      <w:pPr>
        <w:ind w:left="360"/>
        <w:jc w:val="right"/>
        <w:rPr>
          <w:lang w:bidi="ar-OM"/>
        </w:rPr>
      </w:pPr>
      <w:r w:rsidRPr="009A2CB1">
        <w:rPr>
          <w:rtl/>
          <w:lang w:val="en-US"/>
        </w:rPr>
        <w:t>تُعقد جلسات تدريبية منتظمة وبرامج توعية لتثقيف الأفراد حول الحقوق والمسؤوليات وإجراءات تقديم الشكاوى</w:t>
      </w:r>
      <w:r w:rsidR="002D289D">
        <w:rPr>
          <w:rFonts w:hint="cs"/>
          <w:rtl/>
          <w:lang w:val="en-US"/>
        </w:rPr>
        <w:t>.</w:t>
      </w:r>
    </w:p>
    <w:p w14:paraId="3AE9F4BA" w14:textId="77777777" w:rsidR="00D66ABE" w:rsidRPr="009A2CB1" w:rsidRDefault="00D66ABE" w:rsidP="002D289D">
      <w:pPr>
        <w:rPr>
          <w:rtl/>
          <w:lang w:bidi="ar-OM"/>
        </w:rPr>
      </w:pPr>
    </w:p>
    <w:p w14:paraId="71A3C183" w14:textId="77777777" w:rsidR="00B54D08" w:rsidRPr="009A2CB1" w:rsidRDefault="00B54D08" w:rsidP="00B54D08"/>
    <w:p w14:paraId="685DAD22" w14:textId="77777777" w:rsidR="00B54D08" w:rsidRPr="009A2CB1" w:rsidRDefault="00B54D08" w:rsidP="00B54D08"/>
    <w:p w14:paraId="4C29162A" w14:textId="77777777" w:rsidR="00B54D08" w:rsidRPr="009A2CB1" w:rsidRDefault="00B54D08" w:rsidP="00B54D08"/>
    <w:p w14:paraId="552E3A4E" w14:textId="77777777" w:rsidR="00B54D08" w:rsidRPr="009A2CB1" w:rsidRDefault="00B54D08" w:rsidP="00B54D08"/>
    <w:p w14:paraId="34B98F8A" w14:textId="77777777" w:rsidR="00B54D08" w:rsidRPr="009A2CB1" w:rsidRDefault="00B54D08" w:rsidP="00B54D08"/>
    <w:p w14:paraId="21123440" w14:textId="77777777" w:rsidR="00B54D08" w:rsidRPr="009A2CB1" w:rsidRDefault="00B54D08" w:rsidP="00B54D08"/>
    <w:p w14:paraId="0E9BA3F1" w14:textId="77777777" w:rsidR="00B54D08" w:rsidRPr="009A2CB1" w:rsidRDefault="00B54D08" w:rsidP="00B54D08">
      <w:pPr>
        <w:tabs>
          <w:tab w:val="left" w:pos="2850"/>
        </w:tabs>
      </w:pPr>
      <w:r w:rsidRPr="009A2CB1">
        <w:tab/>
      </w:r>
    </w:p>
    <w:p w14:paraId="03ED0555" w14:textId="77777777" w:rsidR="00B54D08" w:rsidRPr="00B54D08" w:rsidRDefault="00B54D08" w:rsidP="00B54D08">
      <w:pPr>
        <w:tabs>
          <w:tab w:val="left" w:pos="2850"/>
        </w:tabs>
        <w:jc w:val="center"/>
      </w:pPr>
      <w:r w:rsidRPr="00B54D08">
        <w:rPr>
          <w:b/>
          <w:bCs/>
        </w:rPr>
        <w:t>_________________</w:t>
      </w:r>
    </w:p>
    <w:p w14:paraId="36F24ADF" w14:textId="77777777" w:rsidR="00B54D08" w:rsidRPr="00B54D08" w:rsidRDefault="00B54D08" w:rsidP="00B54D08">
      <w:pPr>
        <w:tabs>
          <w:tab w:val="left" w:pos="2850"/>
        </w:tabs>
        <w:jc w:val="center"/>
        <w:rPr>
          <w:b/>
          <w:bCs/>
          <w:lang w:val="en-US"/>
        </w:rPr>
      </w:pPr>
      <w:r w:rsidRPr="00B54D08">
        <w:rPr>
          <w:b/>
          <w:bCs/>
          <w:rtl/>
        </w:rPr>
        <w:t>د. سمير البحراني</w:t>
      </w:r>
      <w:r w:rsidRPr="00B54D08">
        <w:br/>
      </w:r>
      <w:r w:rsidRPr="00B54D08">
        <w:rPr>
          <w:rtl/>
        </w:rPr>
        <w:t>مدير المعهد</w:t>
      </w:r>
      <w:r w:rsidRPr="00B54D08">
        <w:rPr>
          <w:b/>
          <w:bCs/>
        </w:rPr>
        <w:t xml:space="preserve">  </w:t>
      </w:r>
      <w:r w:rsidRPr="00B54D08">
        <w:br/>
      </w:r>
      <w:r w:rsidRPr="00B54D08">
        <w:rPr>
          <w:b/>
          <w:bCs/>
        </w:rPr>
        <w:t>25/June/2025</w:t>
      </w:r>
    </w:p>
    <w:p w14:paraId="082F214F" w14:textId="77777777" w:rsidR="00B54D08" w:rsidRPr="00B54D08" w:rsidRDefault="00B54D08" w:rsidP="00B54D08">
      <w:pPr>
        <w:tabs>
          <w:tab w:val="left" w:pos="2850"/>
        </w:tabs>
        <w:rPr>
          <w:rtl/>
          <w:lang w:bidi="ar-OM"/>
        </w:rPr>
      </w:pPr>
    </w:p>
    <w:p w14:paraId="75E95BDC" w14:textId="49C35A6F" w:rsidR="00B54D08" w:rsidRPr="009A2CB1" w:rsidRDefault="00B54D08" w:rsidP="00B54D08">
      <w:pPr>
        <w:tabs>
          <w:tab w:val="left" w:pos="2850"/>
        </w:tabs>
        <w:jc w:val="right"/>
        <w:rPr>
          <w:rtl/>
          <w:lang w:val="en-US" w:bidi="ar-OM"/>
        </w:rPr>
      </w:pPr>
      <w:r w:rsidRPr="009A2CB1">
        <w:rPr>
          <w:b/>
          <w:bCs/>
        </w:rPr>
        <w:t>25/June/2026</w:t>
      </w:r>
      <w:r w:rsidRPr="009A2CB1">
        <w:rPr>
          <w:rFonts w:hint="cs"/>
          <w:b/>
          <w:bCs/>
          <w:rtl/>
          <w:lang w:val="en-US" w:bidi="ar-OM"/>
        </w:rPr>
        <w:t xml:space="preserve">المراجعة القادمة: </w:t>
      </w:r>
    </w:p>
    <w:sectPr w:rsidR="00B54D08" w:rsidRPr="009A2CB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7129C" w14:textId="77777777" w:rsidR="005A0FDD" w:rsidRDefault="005A0FDD" w:rsidP="009A2CB1">
      <w:pPr>
        <w:spacing w:after="0" w:line="240" w:lineRule="auto"/>
      </w:pPr>
      <w:r>
        <w:separator/>
      </w:r>
    </w:p>
  </w:endnote>
  <w:endnote w:type="continuationSeparator" w:id="0">
    <w:p w14:paraId="4AEE5CB7" w14:textId="77777777" w:rsidR="005A0FDD" w:rsidRDefault="005A0FDD" w:rsidP="009A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75540" w14:textId="77777777" w:rsidR="00850433" w:rsidRDefault="00850433" w:rsidP="00850433">
    <w:pPr>
      <w:pStyle w:val="Footer"/>
      <w:tabs>
        <w:tab w:val="clear" w:pos="4513"/>
        <w:tab w:val="clear" w:pos="9026"/>
        <w:tab w:val="left" w:pos="790"/>
        <w:tab w:val="left" w:pos="2220"/>
      </w:tabs>
    </w:pPr>
  </w:p>
  <w:p w14:paraId="7C6F708A" w14:textId="572513A9" w:rsidR="00850433" w:rsidRDefault="00850433" w:rsidP="00850433">
    <w:pPr>
      <w:pStyle w:val="Footer"/>
      <w:tabs>
        <w:tab w:val="clear" w:pos="4513"/>
        <w:tab w:val="clear" w:pos="9026"/>
        <w:tab w:val="left" w:pos="790"/>
        <w:tab w:val="left" w:pos="2220"/>
      </w:tabs>
    </w:pPr>
    <w:r>
      <w:t>TQTI-HSE-PR-15</w:t>
    </w:r>
  </w:p>
  <w:p w14:paraId="0EA2F0D0" w14:textId="283E632D" w:rsidR="009A2CB1" w:rsidRDefault="009A2CB1" w:rsidP="00850433">
    <w:pPr>
      <w:pStyle w:val="Footer"/>
      <w:tabs>
        <w:tab w:val="clear" w:pos="4513"/>
        <w:tab w:val="clear" w:pos="9026"/>
        <w:tab w:val="left" w:pos="790"/>
        <w:tab w:val="left" w:pos="2220"/>
      </w:tabs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242A8B96" wp14:editId="2EC2D744">
          <wp:simplePos x="0" y="0"/>
          <wp:positionH relativeFrom="page">
            <wp:align>left</wp:align>
          </wp:positionH>
          <wp:positionV relativeFrom="paragraph">
            <wp:posOffset>-93345</wp:posOffset>
          </wp:positionV>
          <wp:extent cx="7348548" cy="720090"/>
          <wp:effectExtent l="0" t="0" r="5080" b="381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8548" cy="720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0433">
      <w:tab/>
    </w:r>
    <w:r w:rsidR="0085043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38D1B" w14:textId="77777777" w:rsidR="005A0FDD" w:rsidRDefault="005A0FDD" w:rsidP="009A2CB1">
      <w:pPr>
        <w:spacing w:after="0" w:line="240" w:lineRule="auto"/>
      </w:pPr>
      <w:r>
        <w:separator/>
      </w:r>
    </w:p>
  </w:footnote>
  <w:footnote w:type="continuationSeparator" w:id="0">
    <w:p w14:paraId="45F9F966" w14:textId="77777777" w:rsidR="005A0FDD" w:rsidRDefault="005A0FDD" w:rsidP="009A2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8880B" w14:textId="65225E8D" w:rsidR="009A2CB1" w:rsidRDefault="009A2CB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922900" wp14:editId="6F534A85">
          <wp:simplePos x="0" y="0"/>
          <wp:positionH relativeFrom="margin">
            <wp:align>center</wp:align>
          </wp:positionH>
          <wp:positionV relativeFrom="paragraph">
            <wp:posOffset>-387985</wp:posOffset>
          </wp:positionV>
          <wp:extent cx="74739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15E23"/>
    <w:multiLevelType w:val="multilevel"/>
    <w:tmpl w:val="7CAC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186459"/>
    <w:multiLevelType w:val="multilevel"/>
    <w:tmpl w:val="1280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FC7167"/>
    <w:multiLevelType w:val="multilevel"/>
    <w:tmpl w:val="8B04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7B7DA5"/>
    <w:multiLevelType w:val="multilevel"/>
    <w:tmpl w:val="EE5C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79214D"/>
    <w:multiLevelType w:val="multilevel"/>
    <w:tmpl w:val="6D908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81517D"/>
    <w:multiLevelType w:val="multilevel"/>
    <w:tmpl w:val="C534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499296">
    <w:abstractNumId w:val="5"/>
  </w:num>
  <w:num w:numId="2" w16cid:durableId="438256873">
    <w:abstractNumId w:val="2"/>
  </w:num>
  <w:num w:numId="3" w16cid:durableId="661935158">
    <w:abstractNumId w:val="1"/>
  </w:num>
  <w:num w:numId="4" w16cid:durableId="1141507600">
    <w:abstractNumId w:val="3"/>
  </w:num>
  <w:num w:numId="5" w16cid:durableId="136921548">
    <w:abstractNumId w:val="0"/>
  </w:num>
  <w:num w:numId="6" w16cid:durableId="2050495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846"/>
    <w:rsid w:val="000C4381"/>
    <w:rsid w:val="00206AEC"/>
    <w:rsid w:val="002D289D"/>
    <w:rsid w:val="005A0FDD"/>
    <w:rsid w:val="005D0846"/>
    <w:rsid w:val="0062356C"/>
    <w:rsid w:val="006F40C6"/>
    <w:rsid w:val="00850433"/>
    <w:rsid w:val="009A2CB1"/>
    <w:rsid w:val="00B260E9"/>
    <w:rsid w:val="00B54D08"/>
    <w:rsid w:val="00BF41DD"/>
    <w:rsid w:val="00D06949"/>
    <w:rsid w:val="00D563B4"/>
    <w:rsid w:val="00D66ABE"/>
    <w:rsid w:val="00D7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CCA260"/>
  <w15:chartTrackingRefBased/>
  <w15:docId w15:val="{10BF2F6C-0A57-4A95-801C-489CADA6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8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08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08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08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08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08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08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08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08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8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08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08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08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08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08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08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08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08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08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08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08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08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08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08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08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08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08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08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084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A2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CB1"/>
  </w:style>
  <w:style w:type="paragraph" w:styleId="Footer">
    <w:name w:val="footer"/>
    <w:basedOn w:val="Normal"/>
    <w:link w:val="FooterChar"/>
    <w:uiPriority w:val="99"/>
    <w:unhideWhenUsed/>
    <w:rsid w:val="009A2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8</cp:revision>
  <dcterms:created xsi:type="dcterms:W3CDTF">2025-11-07T17:19:00Z</dcterms:created>
  <dcterms:modified xsi:type="dcterms:W3CDTF">2025-11-08T06:48:00Z</dcterms:modified>
</cp:coreProperties>
</file>